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drawing>
          <wp:inline distT="0" distB="0" distL="0" distR="0">
            <wp:extent cx="97155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71550" cy="762000"/>
                    </a:xfrm>
                    <a:prstGeom prst="rect">
                      <a:avLst/>
                    </a:prstGeom>
                  </pic:spPr>
                </pic:pic>
              </a:graphicData>
            </a:graphic>
          </wp:inline>
        </w:drawing>
      </w:r>
    </w:p>
    <w:p>
      <w:pPr>
        <w:spacing w:after="60"/>
      </w:pPr>
      <w:r>
        <w:rPr>
          <w:b/>
          <w:bCs/>
          <w:color w:val="185FA5"/>
          <w:sz w:val="40"/>
          <w:szCs w:val="40"/>
          <w:rFonts w:ascii="Arial" w:cs="Arial" w:eastAsia="Arial" w:hAnsi="Arial"/>
        </w:rPr>
        <w:t xml:space="preserve">ISO 9001:2026</w:t>
      </w:r>
    </w:p>
    <w:p>
      <w:pPr>
        <w:spacing w:after="240"/>
      </w:pPr>
      <w:r>
        <w:rPr>
          <w:color w:val="555555"/>
          <w:sz w:val="21"/>
          <w:szCs w:val="21"/>
          <w:rFonts w:ascii="Arial" w:cs="Arial" w:eastAsia="Arial" w:hAnsi="Arial"/>
        </w:rPr>
        <w:t xml:space="preserve">Infoblatt zur Norm für Qualitätsmanagementsysteme</w:t>
      </w:r>
    </w:p>
    <w:p>
      <w:pPr>
        <w:keepNext/>
        <w:pBdr>
          <w:bottom w:val="single" w:color="185FA5" w:sz="8" w:space="2"/>
        </w:pBdr>
        <w:spacing w:before="260" w:after="100"/>
      </w:pPr>
      <w:r>
        <w:rPr>
          <w:b/>
          <w:bCs/>
          <w:color w:val="185FA5"/>
          <w:sz w:val="26"/>
          <w:szCs w:val="26"/>
          <w:rFonts w:ascii="Arial" w:cs="Arial" w:eastAsia="Arial" w:hAnsi="Arial"/>
        </w:rPr>
        <w:t xml:space="preserve">Worum es geht</w:t>
      </w:r>
    </w:p>
    <w:p>
      <w:pPr>
        <w:spacing w:after="140"/>
      </w:pPr>
      <w:r>
        <w:rPr>
          <w:color w:val="2E2E2E"/>
          <w:sz w:val="21"/>
          <w:szCs w:val="21"/>
          <w:rFonts w:ascii="Arial" w:cs="Arial" w:eastAsia="Arial" w:hAnsi="Arial"/>
        </w:rPr>
        <w:t xml:space="preserve">Die ISO 9001 legt die Anforderungen an ein Qualitätsmanagementsystem (QMS) fest. Sie erschien erstmals 1987 und wurde 1994, 2000, 2008 und 2015 überarbeitet. Die aktuelle Ausgabe ISO 9001:2026 ist im September 2026 erschienen.</w:t>
      </w:r>
    </w:p>
    <w:p>
      <w:pPr>
        <w:spacing w:after="140"/>
      </w:pPr>
      <w:r>
        <w:rPr>
          <w:color w:val="2E2E2E"/>
          <w:sz w:val="21"/>
          <w:szCs w:val="21"/>
          <w:rFonts w:ascii="Arial" w:cs="Arial" w:eastAsia="Arial" w:hAnsi="Arial"/>
        </w:rPr>
        <w:t xml:space="preserve">Nach der ISO 9001 können sich Organisationen jeder Branche und Größe zertifizieren lassen. Ein Zertifikat dient als Nachweis gegenüber Kunden und Geschäftspartnern, dass Abläufe geregelt sind und laufend verbessert werden.</w:t>
      </w:r>
    </w:p>
    <w:p>
      <w:pPr>
        <w:keepNext/>
        <w:pBdr>
          <w:bottom w:val="single" w:color="185FA5" w:sz="8" w:space="2"/>
        </w:pBdr>
        <w:spacing w:before="260" w:after="100"/>
      </w:pPr>
      <w:r>
        <w:rPr>
          <w:b/>
          <w:bCs/>
          <w:color w:val="185FA5"/>
          <w:sz w:val="26"/>
          <w:szCs w:val="26"/>
          <w:rFonts w:ascii="Arial" w:cs="Arial" w:eastAsia="Arial" w:hAnsi="Arial"/>
        </w:rPr>
        <w:t xml:space="preserve">Aufbau der Norm</w:t>
      </w:r>
    </w:p>
    <w:p>
      <w:pPr>
        <w:spacing w:after="140"/>
      </w:pPr>
      <w:r>
        <w:rPr>
          <w:color w:val="2E2E2E"/>
          <w:sz w:val="21"/>
          <w:szCs w:val="21"/>
          <w:rFonts w:ascii="Arial" w:cs="Arial" w:eastAsia="Arial" w:hAnsi="Arial"/>
        </w:rPr>
        <w:t xml:space="preserve">Die Anforderungen stehen in den Kapiteln 4 bis 10. Sie folgen der einheitlichen Struktur der ISO-Managementsystemnormen:</w:t>
      </w:r>
    </w:p>
    <w:p>
      <w:pPr>
        <w:pStyle w:val="ListParagraph"/>
        <w:numPr>
          <w:ilvl w:val="0"/>
          <w:numId w:val="2"/>
        </w:numPr>
        <w:spacing w:after="80"/>
      </w:pPr>
      <w:r>
        <w:rPr>
          <w:b/>
          <w:bCs/>
          <w:color w:val="2E2E2E"/>
          <w:sz w:val="21"/>
          <w:szCs w:val="21"/>
          <w:rFonts w:ascii="Arial" w:cs="Arial" w:eastAsia="Arial" w:hAnsi="Arial"/>
        </w:rPr>
        <w:t xml:space="preserve">4 Kontext der Organisation: </w:t>
      </w:r>
      <w:r>
        <w:rPr>
          <w:color w:val="2E2E2E"/>
          <w:sz w:val="21"/>
          <w:szCs w:val="21"/>
          <w:rFonts w:ascii="Arial" w:cs="Arial" w:eastAsia="Arial" w:hAnsi="Arial"/>
        </w:rPr>
        <w:t xml:space="preserve">interne und externe Themen sowie interessierte Parteien bestimmen, Anwendungsbereich des QMS festlegen.</w:t>
      </w:r>
    </w:p>
    <w:p>
      <w:pPr>
        <w:pStyle w:val="ListParagraph"/>
        <w:numPr>
          <w:ilvl w:val="0"/>
          <w:numId w:val="2"/>
        </w:numPr>
        <w:spacing w:after="80"/>
      </w:pPr>
      <w:r>
        <w:rPr>
          <w:b/>
          <w:bCs/>
          <w:color w:val="2E2E2E"/>
          <w:sz w:val="21"/>
          <w:szCs w:val="21"/>
          <w:rFonts w:ascii="Arial" w:cs="Arial" w:eastAsia="Arial" w:hAnsi="Arial"/>
        </w:rPr>
        <w:t xml:space="preserve">5 Führung: </w:t>
      </w:r>
      <w:r>
        <w:rPr>
          <w:color w:val="2E2E2E"/>
          <w:sz w:val="21"/>
          <w:szCs w:val="21"/>
          <w:rFonts w:ascii="Arial" w:cs="Arial" w:eastAsia="Arial" w:hAnsi="Arial"/>
        </w:rPr>
        <w:t xml:space="preserve">die oberste Leitung übernimmt Verantwortung für das QMS, legt die Qualitätspolitik fest und vermittelt Ziele.</w:t>
      </w:r>
    </w:p>
    <w:p>
      <w:pPr>
        <w:pStyle w:val="ListParagraph"/>
        <w:numPr>
          <w:ilvl w:val="0"/>
          <w:numId w:val="2"/>
        </w:numPr>
        <w:spacing w:after="80"/>
      </w:pPr>
      <w:r>
        <w:rPr>
          <w:b/>
          <w:bCs/>
          <w:color w:val="2E2E2E"/>
          <w:sz w:val="21"/>
          <w:szCs w:val="21"/>
          <w:rFonts w:ascii="Arial" w:cs="Arial" w:eastAsia="Arial" w:hAnsi="Arial"/>
        </w:rPr>
        <w:t xml:space="preserve">6 Planung: </w:t>
      </w:r>
      <w:r>
        <w:rPr>
          <w:color w:val="2E2E2E"/>
          <w:sz w:val="21"/>
          <w:szCs w:val="21"/>
          <w:rFonts w:ascii="Arial" w:cs="Arial" w:eastAsia="Arial" w:hAnsi="Arial"/>
        </w:rPr>
        <w:t xml:space="preserve">Risiken und Chancen bestimmen, Qualitätsziele festlegen und Änderungen planen.</w:t>
      </w:r>
    </w:p>
    <w:p>
      <w:pPr>
        <w:pStyle w:val="ListParagraph"/>
        <w:numPr>
          <w:ilvl w:val="0"/>
          <w:numId w:val="2"/>
        </w:numPr>
        <w:spacing w:after="80"/>
      </w:pPr>
      <w:r>
        <w:rPr>
          <w:b/>
          <w:bCs/>
          <w:color w:val="2E2E2E"/>
          <w:sz w:val="21"/>
          <w:szCs w:val="21"/>
          <w:rFonts w:ascii="Arial" w:cs="Arial" w:eastAsia="Arial" w:hAnsi="Arial"/>
        </w:rPr>
        <w:t xml:space="preserve">7 Unterstützung: </w:t>
      </w:r>
      <w:r>
        <w:rPr>
          <w:color w:val="2E2E2E"/>
          <w:sz w:val="21"/>
          <w:szCs w:val="21"/>
          <w:rFonts w:ascii="Arial" w:cs="Arial" w:eastAsia="Arial" w:hAnsi="Arial"/>
        </w:rPr>
        <w:t xml:space="preserve">Ressourcen, Kompetenz, Bewusstsein, Kommunikation und dokumentierte Information bereitstellen.</w:t>
      </w:r>
    </w:p>
    <w:p>
      <w:pPr>
        <w:pStyle w:val="ListParagraph"/>
        <w:numPr>
          <w:ilvl w:val="0"/>
          <w:numId w:val="2"/>
        </w:numPr>
        <w:spacing w:after="80"/>
      </w:pPr>
      <w:r>
        <w:rPr>
          <w:b/>
          <w:bCs/>
          <w:color w:val="2E2E2E"/>
          <w:sz w:val="21"/>
          <w:szCs w:val="21"/>
          <w:rFonts w:ascii="Arial" w:cs="Arial" w:eastAsia="Arial" w:hAnsi="Arial"/>
        </w:rPr>
        <w:t xml:space="preserve">8 Betrieb: </w:t>
      </w:r>
      <w:r>
        <w:rPr>
          <w:color w:val="2E2E2E"/>
          <w:sz w:val="21"/>
          <w:szCs w:val="21"/>
          <w:rFonts w:ascii="Arial" w:cs="Arial" w:eastAsia="Arial" w:hAnsi="Arial"/>
        </w:rPr>
        <w:t xml:space="preserve">Prozesse für Produkte und Dienstleistungen planen und steuern, von der Entwicklung bis zur Lieferung.</w:t>
      </w:r>
    </w:p>
    <w:p>
      <w:pPr>
        <w:pStyle w:val="ListParagraph"/>
        <w:numPr>
          <w:ilvl w:val="0"/>
          <w:numId w:val="2"/>
        </w:numPr>
        <w:spacing w:after="80"/>
      </w:pPr>
      <w:r>
        <w:rPr>
          <w:b/>
          <w:bCs/>
          <w:color w:val="2E2E2E"/>
          <w:sz w:val="21"/>
          <w:szCs w:val="21"/>
          <w:rFonts w:ascii="Arial" w:cs="Arial" w:eastAsia="Arial" w:hAnsi="Arial"/>
        </w:rPr>
        <w:t xml:space="preserve">9 Bewertung der Leistung: </w:t>
      </w:r>
      <w:r>
        <w:rPr>
          <w:color w:val="2E2E2E"/>
          <w:sz w:val="21"/>
          <w:szCs w:val="21"/>
          <w:rFonts w:ascii="Arial" w:cs="Arial" w:eastAsia="Arial" w:hAnsi="Arial"/>
        </w:rPr>
        <w:t xml:space="preserve">überwachen, messen und auswerten, interne Audits und Managementbewertung durchführen.</w:t>
      </w:r>
    </w:p>
    <w:p>
      <w:pPr>
        <w:pStyle w:val="ListParagraph"/>
        <w:numPr>
          <w:ilvl w:val="0"/>
          <w:numId w:val="2"/>
        </w:numPr>
        <w:spacing w:after="80"/>
      </w:pPr>
      <w:r>
        <w:rPr>
          <w:b/>
          <w:bCs/>
          <w:color w:val="2E2E2E"/>
          <w:sz w:val="21"/>
          <w:szCs w:val="21"/>
          <w:rFonts w:ascii="Arial" w:cs="Arial" w:eastAsia="Arial" w:hAnsi="Arial"/>
        </w:rPr>
        <w:t xml:space="preserve">10 Verbesserung: </w:t>
      </w:r>
      <w:r>
        <w:rPr>
          <w:color w:val="2E2E2E"/>
          <w:sz w:val="21"/>
          <w:szCs w:val="21"/>
          <w:rFonts w:ascii="Arial" w:cs="Arial" w:eastAsia="Arial" w:hAnsi="Arial"/>
        </w:rPr>
        <w:t xml:space="preserve">Nichtkonformitäten und Korrekturmaßnahmen bearbeiten und das QMS fortlaufend verbessern.</w:t>
      </w:r>
    </w:p>
    <w:p>
      <w:pPr>
        <w:keepNext/>
        <w:pBdr>
          <w:bottom w:val="single" w:color="185FA5" w:sz="8" w:space="2"/>
        </w:pBdr>
        <w:spacing w:before="260" w:after="100"/>
      </w:pPr>
      <w:r>
        <w:rPr>
          <w:b/>
          <w:bCs/>
          <w:color w:val="185FA5"/>
          <w:sz w:val="26"/>
          <w:szCs w:val="26"/>
          <w:rFonts w:ascii="Arial" w:cs="Arial" w:eastAsia="Arial" w:hAnsi="Arial"/>
        </w:rPr>
        <w:t xml:space="preserve">Was in der Ausgabe 2026 neu ist</w:t>
      </w:r>
    </w:p>
    <w:p>
      <w:pPr>
        <w:pStyle w:val="ListParagraph"/>
        <w:numPr>
          <w:ilvl w:val="0"/>
          <w:numId w:val="2"/>
        </w:numPr>
        <w:spacing w:after="80"/>
      </w:pPr>
      <w:r>
        <w:rPr>
          <w:b/>
          <w:bCs/>
          <w:color w:val="2E2E2E"/>
          <w:sz w:val="21"/>
          <w:szCs w:val="21"/>
          <w:rFonts w:ascii="Arial" w:cs="Arial" w:eastAsia="Arial" w:hAnsi="Arial"/>
        </w:rPr>
        <w:t xml:space="preserve">Klimawandel: </w:t>
      </w:r>
      <w:r>
        <w:rPr>
          <w:color w:val="2E2E2E"/>
          <w:sz w:val="21"/>
          <w:szCs w:val="21"/>
          <w:rFonts w:ascii="Arial" w:cs="Arial" w:eastAsia="Arial" w:hAnsi="Arial"/>
        </w:rPr>
        <w:t xml:space="preserve">Die Organisation muss beurteilen, ob der Klimawandel für ihren Kontext relevant ist. Interessierte Parteien können klimabezogene Anforderungen haben (4.1, 4.2). Die Ergänzung von 2024 ist eingearbeitet.</w:t>
      </w:r>
    </w:p>
    <w:p>
      <w:pPr>
        <w:pStyle w:val="ListParagraph"/>
        <w:numPr>
          <w:ilvl w:val="0"/>
          <w:numId w:val="2"/>
        </w:numPr>
        <w:spacing w:after="80"/>
      </w:pPr>
      <w:r>
        <w:rPr>
          <w:b/>
          <w:bCs/>
          <w:color w:val="2E2E2E"/>
          <w:sz w:val="21"/>
          <w:szCs w:val="21"/>
          <w:rFonts w:ascii="Arial" w:cs="Arial" w:eastAsia="Arial" w:hAnsi="Arial"/>
        </w:rPr>
        <w:t xml:space="preserve">Risiken und Chancen: </w:t>
      </w:r>
      <w:r>
        <w:rPr>
          <w:color w:val="2E2E2E"/>
          <w:sz w:val="21"/>
          <w:szCs w:val="21"/>
          <w:rFonts w:ascii="Arial" w:cs="Arial" w:eastAsia="Arial" w:hAnsi="Arial"/>
        </w:rPr>
        <w:t xml:space="preserve">Sie werden getrennt behandelt (6.1).</w:t>
      </w:r>
    </w:p>
    <w:p>
      <w:pPr>
        <w:pStyle w:val="ListParagraph"/>
        <w:numPr>
          <w:ilvl w:val="0"/>
          <w:numId w:val="2"/>
        </w:numPr>
        <w:spacing w:after="80"/>
      </w:pPr>
      <w:r>
        <w:rPr>
          <w:b/>
          <w:bCs/>
          <w:color w:val="2E2E2E"/>
          <w:sz w:val="21"/>
          <w:szCs w:val="21"/>
          <w:rFonts w:ascii="Arial" w:cs="Arial" w:eastAsia="Arial" w:hAnsi="Arial"/>
        </w:rPr>
        <w:t xml:space="preserve">Qualitätskultur und ethisches Verhalten: </w:t>
      </w:r>
      <w:r>
        <w:rPr>
          <w:color w:val="2E2E2E"/>
          <w:sz w:val="21"/>
          <w:szCs w:val="21"/>
          <w:rFonts w:ascii="Arial" w:cs="Arial" w:eastAsia="Arial" w:hAnsi="Arial"/>
        </w:rPr>
        <w:t xml:space="preserve">Die oberste Leitung soll beides fördern (5.1).</w:t>
      </w:r>
    </w:p>
    <w:p>
      <w:pPr>
        <w:pStyle w:val="ListParagraph"/>
        <w:numPr>
          <w:ilvl w:val="0"/>
          <w:numId w:val="2"/>
        </w:numPr>
        <w:spacing w:after="80"/>
      </w:pPr>
      <w:r>
        <w:rPr>
          <w:b/>
          <w:bCs/>
          <w:color w:val="2E2E2E"/>
          <w:sz w:val="21"/>
          <w:szCs w:val="21"/>
          <w:rFonts w:ascii="Arial" w:cs="Arial" w:eastAsia="Arial" w:hAnsi="Arial"/>
        </w:rPr>
        <w:t xml:space="preserve">Anhänge: </w:t>
      </w:r>
      <w:r>
        <w:rPr>
          <w:color w:val="2E2E2E"/>
          <w:sz w:val="21"/>
          <w:szCs w:val="21"/>
          <w:rFonts w:ascii="Arial" w:cs="Arial" w:eastAsia="Arial" w:hAnsi="Arial"/>
        </w:rPr>
        <w:t xml:space="preserve">Anhang A wurde überarbeitet, Anhang B ist entfallen.</w:t>
      </w:r>
    </w:p>
    <w:p>
      <w:pPr>
        <w:spacing w:after="140"/>
      </w:pPr>
      <w:r>
        <w:rPr>
          <w:color w:val="2E2E2E"/>
          <w:sz w:val="21"/>
          <w:szCs w:val="21"/>
          <w:rFonts w:ascii="Arial" w:cs="Arial" w:eastAsia="Arial" w:hAnsi="Arial"/>
        </w:rPr>
        <w:t xml:space="preserve">Prozessorientierung, PDCA-Zyklus und risikobasiertes Denken bleiben erhalten.</w:t>
      </w:r>
    </w:p>
    <w:p>
      <w:pPr>
        <w:keepNext/>
        <w:pBdr>
          <w:bottom w:val="single" w:color="185FA5" w:sz="8" w:space="2"/>
        </w:pBdr>
        <w:spacing w:before="260" w:after="100"/>
      </w:pPr>
      <w:r>
        <w:rPr>
          <w:b/>
          <w:bCs/>
          <w:color w:val="185FA5"/>
          <w:sz w:val="26"/>
          <w:szCs w:val="26"/>
          <w:rFonts w:ascii="Arial" w:cs="Arial" w:eastAsia="Arial" w:hAnsi="Arial"/>
        </w:rPr>
        <w:t xml:space="preserve">Übergang und was jetzt zu tun ist</w:t>
      </w:r>
    </w:p>
    <w:p>
      <w:pPr>
        <w:spacing w:after="140"/>
      </w:pPr>
      <w:r>
        <w:rPr>
          <w:color w:val="2E2E2E"/>
          <w:sz w:val="21"/>
          <w:szCs w:val="21"/>
          <w:rFonts w:ascii="Arial" w:cs="Arial" w:eastAsia="Arial" w:hAnsi="Arial"/>
        </w:rPr>
        <w:t xml:space="preserve">Für die Umstellung gilt eine Übergangsfrist von drei Jahren. Zertifikate nach der Fassung von 2015 verlieren spätestens im September 2029 ihre Gültigkeit, nach Angabe von TÜV SÜD am 15. September 2029 (Stand Oktober 2026). Einzelne Zertifikate können früher auslaufen. Die Umstellung kann nach Abstimmung mit der Zertifizierungsstelle im Überwachungs- oder Rezertifizierungsaudit erfolgen.</w:t>
      </w:r>
    </w:p>
    <w:p>
      <w:pPr>
        <w:pStyle w:val="ListParagraph"/>
        <w:numPr>
          <w:ilvl w:val="0"/>
          <w:numId w:val="2"/>
        </w:numPr>
        <w:spacing w:after="80"/>
      </w:pPr>
      <w:r>
        <w:rPr>
          <w:color w:val="2E2E2E"/>
          <w:sz w:val="21"/>
          <w:szCs w:val="21"/>
          <w:rFonts w:ascii="Arial" w:cs="Arial" w:eastAsia="Arial" w:hAnsi="Arial"/>
        </w:rPr>
        <w:t xml:space="preserve">Gap-Analyse: Welche Anforderungen der Ausgabe 2026 sind noch nicht abgedeckt?</w:t>
      </w:r>
    </w:p>
    <w:p>
      <w:pPr>
        <w:pStyle w:val="ListParagraph"/>
        <w:numPr>
          <w:ilvl w:val="0"/>
          <w:numId w:val="2"/>
        </w:numPr>
        <w:spacing w:after="80"/>
      </w:pPr>
      <w:r>
        <w:rPr>
          <w:color w:val="2E2E2E"/>
          <w:sz w:val="21"/>
          <w:szCs w:val="21"/>
          <w:rFonts w:ascii="Arial" w:cs="Arial" w:eastAsia="Arial" w:hAnsi="Arial"/>
        </w:rPr>
        <w:t xml:space="preserve">Betroffene Prozesse und dokumentierte Information prüfen und bei Bedarf anpassen.</w:t>
      </w:r>
    </w:p>
    <w:p>
      <w:pPr>
        <w:pStyle w:val="ListParagraph"/>
        <w:numPr>
          <w:ilvl w:val="0"/>
          <w:numId w:val="2"/>
        </w:numPr>
        <w:spacing w:after="80"/>
      </w:pPr>
      <w:r>
        <w:rPr>
          <w:color w:val="2E2E2E"/>
          <w:sz w:val="21"/>
          <w:szCs w:val="21"/>
          <w:rFonts w:ascii="Arial" w:cs="Arial" w:eastAsia="Arial" w:hAnsi="Arial"/>
        </w:rPr>
        <w:t xml:space="preserve">Interne Audits und Auditcheckliste auf die Ausgabe 2026 umstellen.</w:t>
      </w:r>
    </w:p>
    <w:p>
      <w:pPr>
        <w:pStyle w:val="ListParagraph"/>
        <w:numPr>
          <w:ilvl w:val="0"/>
          <w:numId w:val="2"/>
        </w:numPr>
        <w:spacing w:after="80"/>
      </w:pPr>
      <w:r>
        <w:rPr>
          <w:color w:val="2E2E2E"/>
          <w:sz w:val="21"/>
          <w:szCs w:val="21"/>
          <w:rFonts w:ascii="Arial" w:cs="Arial" w:eastAsia="Arial" w:hAnsi="Arial"/>
        </w:rPr>
        <w:t xml:space="preserve">Zeitpunkt der Umstellung mit der Zertifizierungsstelle abstimmen.</w:t>
      </w:r>
    </w:p>
    <w:p>
      <w:pPr>
        <w:spacing w:before="240"/>
      </w:pPr>
      <w:r>
        <w:rPr>
          <w:i/>
          <w:iCs/>
          <w:color w:val="777777"/>
          <w:sz w:val="18"/>
          <w:szCs w:val="18"/>
          <w:rFonts w:ascii="Arial" w:cs="Arial" w:eastAsia="Arial" w:hAnsi="Arial"/>
        </w:rPr>
        <w:t xml:space="preserve">Dieses Infoblatt ersetzt nicht den Normtext. Die Norm ist bei ISO und in Deutschland bei DIN Media erhältlich.</w:t>
      </w:r>
    </w:p>
    <w:p>
      <w:r>
        <w:br w:type="page"/>
      </w:r>
    </w:p>
    <w:p>
      <w:pPr>
        <w:spacing w:before="0" w:after="480"/>
        <w:jc w:val="left"/>
      </w:pPr>
      <w:r>
        <w:drawing>
          <wp:inline xmlns:wp="http://schemas.openxmlformats.org/drawingml/2006/wordprocessingDrawing" distT="0" distB="0" distL="0" distR="0">
            <wp:extent cx="1905000" cy="1494118"/>
            <wp:docPr id="9901" name="firstaudit Logo"/>
            <a:graphic xmlns:a="http://schemas.openxmlformats.org/drawingml/2006/main">
              <a:graphicData uri="http://schemas.openxmlformats.org/drawingml/2006/picture">
                <pic:pic xmlns:pic="http://schemas.openxmlformats.org/drawingml/2006/picture">
                  <pic:nvPicPr>
                    <pic:cNvPr id="9901" name="fa_logo_ad.png"/>
                    <pic:cNvPicPr/>
                  </pic:nvPicPr>
                  <pic:blipFill>
                    <a:blip xmlns:r="http://schemas.openxmlformats.org/officeDocument/2006/relationships" r:embed="rIdFAlogo"/>
                    <a:stretch>
                      <a:fillRect/>
                    </a:stretch>
                  </pic:blipFill>
                  <pic:spPr>
                    <a:xfrm>
                      <a:off x="0" y="0"/>
                      <a:ext cx="1905000" cy="1494118"/>
                    </a:xfrm>
                    <a:prstGeom prst="rect">
                      <a:avLst/>
                    </a:prstGeom>
                  </pic:spPr>
                </pic:pic>
              </a:graphicData>
            </a:graphic>
          </wp:inline>
        </w:drawing>
      </w:r>
    </w:p>
    <w:p>
      <w:pPr>
        <w:spacing w:before="0" w:after="240"/>
        <w:jc w:val="left"/>
      </w:pPr>
      <w:r>
        <w:rPr>
          <w:rFonts w:ascii="Arial" w:hAnsi="Arial" w:cs="Arial"/>
          <w:b/>
          <w:color w:val="185FA5"/>
          <w:sz w:val="44"/>
        </w:rPr>
        <w:t xml:space="preserve">Digitalisieren Sie Ihre Vorlagen</w:t>
      </w:r>
    </w:p>
    <w:p>
      <w:pPr>
        <w:spacing w:before="0" w:after="360"/>
        <w:jc w:val="left"/>
      </w:pPr>
      <w:r>
        <w:rPr>
          <w:rFonts w:ascii="Arial" w:hAnsi="Arial" w:cs="Arial"/>
          <w:sz w:val="22"/>
        </w:rPr>
        <w:t xml:space="preserve">Mit firstaudit (powered by flowdit) füllen Sie Checklisten und Formulare digital auf Smartphone, Tablet oder PC aus und erstellen daraus Berichte. Für einen Nutzer ist firstaudit dauerhaft kostenlos.</w:t>
      </w:r>
    </w:p>
    <w:p>
      <w:pPr>
        <w:pBdr>
          <w:top w:val="single" w:sz="6" w:space="6" w:color="185FA5"/>
          <w:left w:val="single" w:sz="6" w:space="6" w:color="185FA5"/>
          <w:bottom w:val="single" w:sz="6" w:space="6" w:color="185FA5"/>
          <w:right w:val="single" w:sz="6" w:space="6" w:color="185FA5"/>
        </w:pBdr>
        <w:shd w:val="clear" w:color="auto" w:fill="F2F4F7"/>
        <w:spacing w:before="0" w:after="0"/>
        <w:jc w:val="left"/>
      </w:pPr>
      <w:r>
        <w:rPr>
          <w:rFonts w:ascii="Arial" w:hAnsi="Arial" w:cs="Arial"/>
          <w:b/>
          <w:sz w:val="32"/>
        </w:rPr>
        <w:t xml:space="preserve">Mehr als 1000 Vorlagen</w:t>
      </w:r>
    </w:p>
    <w:p>
      <w:pPr>
        <w:pBdr>
          <w:top w:val="single" w:sz="6" w:space="6" w:color="185FA5"/>
          <w:left w:val="single" w:sz="6" w:space="6" w:color="185FA5"/>
          <w:bottom w:val="single" w:sz="6" w:space="6" w:color="185FA5"/>
          <w:right w:val="single" w:sz="6" w:space="6" w:color="185FA5"/>
        </w:pBdr>
        <w:shd w:val="clear" w:color="auto" w:fill="F2F4F7"/>
        <w:spacing w:before="0" w:after="360"/>
        <w:jc w:val="left"/>
      </w:pPr>
      <w:hyperlink xmlns:r="http://schemas.openxmlformats.org/officeDocument/2006/relationships" r:id="rIdFAv">
        <w:r>
          <w:rPr>
            <w:rFonts w:ascii="Arial" w:hAnsi="Arial" w:cs="Arial"/>
            <w:b/>
            <w:color w:val="185FA5"/>
            <w:u w:val="single"/>
            <w:sz w:val="26"/>
          </w:rPr>
          <w:t xml:space="preserve">flowdit.com/de/vorlagen/</w:t>
        </w:r>
      </w:hyperlink>
    </w:p>
    <w:p>
      <w:pPr>
        <w:spacing w:before="0" w:after="0"/>
        <w:jc w:val="left"/>
      </w:pPr>
      <w:r>
        <w:rPr>
          <w:rFonts w:ascii="Arial" w:hAnsi="Arial" w:cs="Arial"/>
          <w:sz w:val="22"/>
        </w:rPr>
        <w:t xml:space="preserve">Demo vereinbaren: </w:t>
      </w:r>
      <w:hyperlink xmlns:r="http://schemas.openxmlformats.org/officeDocument/2006/relationships" r:id="rIdFAd">
        <w:r>
          <w:rPr>
            <w:rFonts w:ascii="Arial" w:hAnsi="Arial" w:cs="Arial"/>
            <w:b/>
            <w:color w:val="185FA5"/>
            <w:u w:val="single"/>
            <w:sz w:val="22"/>
          </w:rPr>
          <w:t xml:space="preserve">firstaudit.de/termin/</w:t>
        </w:r>
      </w:hyperlink>
    </w:p>
    <w:sectPr>
      <w:footerReference w:type="default" r:id="rId6"/>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Fonts w:ascii="Arial" w:cs="Arial" w:eastAsia="Arial" w:hAnsi="Arial"/>
      </w:rPr>
      <w:t xml:space="preserve">Infoblatt von firstaudit.de   Seite </w:t>
    </w:r>
    <w:r>
      <w:rPr>
        <w:color w:val="777777"/>
        <w:sz w:val="16"/>
        <w:szCs w:val="16"/>
        <w:rFonts w:ascii="Arial" w:cs="Arial" w:eastAsia="Arial" w:hAnsi="Aria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fpwozh0e2zqgdb-tffios.png"/><Relationship Id="rIdFAlogo" Type="http://schemas.openxmlformats.org/officeDocument/2006/relationships/image" Target="media/fa_logo_ad.png"/><Relationship Id="rIdFAv" Type="http://schemas.openxmlformats.org/officeDocument/2006/relationships/hyperlink" Target="https://flowdit.com/de/vorlagen/" TargetMode="External"/><Relationship Id="rIdFAd" Type="http://schemas.openxmlformats.org/officeDocument/2006/relationships/hyperlink" Target="https://www.firstaudit.de/termin/" TargetMode="Externa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Infoblatt ISO 9001:2026</dc:title>
  <dc:creator>firstaudit</dc:creator>
  <cp:lastModifiedBy>Un-named</cp:lastModifiedBy>
  <cp:revision>1</cp:revision>
  <dcterms:created xsi:type="dcterms:W3CDTF">2026-10-08T18:38:35.802Z</dcterms:created>
  <dcterms:modified xsi:type="dcterms:W3CDTF">2026-10-08T18:38:35.802Z</dcterms:modified>
</cp:coreProperties>
</file>

<file path=docProps/custom.xml><?xml version="1.0" encoding="utf-8"?>
<Properties xmlns="http://schemas.openxmlformats.org/officeDocument/2006/custom-properties" xmlns:vt="http://schemas.openxmlformats.org/officeDocument/2006/docPropsVTypes"/>
</file>